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35" w:rsidRPr="007C5635" w:rsidRDefault="007C5635" w:rsidP="007C5635">
      <w:pPr>
        <w:spacing w:before="75" w:after="150" w:line="240" w:lineRule="auto"/>
        <w:outlineLvl w:val="1"/>
        <w:rPr>
          <w:rFonts w:ascii="&amp;quot" w:eastAsia="Times New Roman" w:hAnsi="&amp;quot" w:cs="Times New Roman"/>
          <w:color w:val="333333"/>
          <w:sz w:val="45"/>
          <w:szCs w:val="45"/>
        </w:rPr>
      </w:pPr>
      <w:r w:rsidRPr="007C5635">
        <w:rPr>
          <w:rFonts w:ascii="&amp;quot" w:eastAsia="Times New Roman" w:hAnsi="&amp;quot" w:cs="Times New Roman"/>
          <w:color w:val="333333"/>
          <w:sz w:val="45"/>
          <w:szCs w:val="45"/>
        </w:rPr>
        <w:t>Autorizzazione estumulazione straordinaria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 xml:space="preserve">Riferimenti del Procedimento </w:t>
      </w:r>
    </w:p>
    <w:p w:rsidR="007C5635" w:rsidRPr="007C5635" w:rsidRDefault="007C5635" w:rsidP="007C5635">
      <w:pPr>
        <w:spacing w:before="150" w:after="150" w:line="240" w:lineRule="auto"/>
        <w:outlineLvl w:val="5"/>
        <w:rPr>
          <w:rFonts w:ascii="inherit" w:eastAsia="Times New Roman" w:hAnsi="inherit" w:cs="Times New Roman"/>
          <w:sz w:val="18"/>
          <w:szCs w:val="18"/>
        </w:rPr>
      </w:pPr>
      <w:r w:rsidRPr="007C5635">
        <w:rPr>
          <w:rFonts w:ascii="inherit" w:eastAsia="Times New Roman" w:hAnsi="inherit" w:cs="Times New Roman"/>
          <w:sz w:val="18"/>
          <w:szCs w:val="18"/>
        </w:rPr>
        <w:t>Codice procedimento: CI06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Ufficio di riferimento: </w:t>
      </w:r>
      <w:hyperlink r:id="rId5" w:tgtFrame="_blank" w:history="1">
        <w:r w:rsidRPr="007C5635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Servizi Cimiteriali</w:t>
        </w:r>
      </w:hyperlink>
    </w:p>
    <w:p w:rsidR="0030081D" w:rsidRDefault="0030081D" w:rsidP="0030081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Responsabile del Procedimento:  Sindaco</w:t>
      </w:r>
    </w:p>
    <w:p w:rsidR="0030081D" w:rsidRDefault="0030081D" w:rsidP="0030081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E-mail: info@comune.valleve.bg.it</w:t>
      </w:r>
      <w:r>
        <w:rPr>
          <w:rFonts w:ascii="&amp;quot" w:eastAsia="Times New Roman" w:hAnsi="&amp;quot" w:cs="Times New Roman"/>
          <w:color w:val="B31B34"/>
          <w:sz w:val="20"/>
          <w:szCs w:val="20"/>
          <w:u w:val="single"/>
        </w:rPr>
        <w:t xml:space="preserve"> </w:t>
      </w:r>
    </w:p>
    <w:p w:rsidR="0030081D" w:rsidRDefault="0030081D" w:rsidP="0030081D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Telefono: 0345-78005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Soggetto con potere sostitutivo: </w:t>
      </w:r>
      <w:hyperlink r:id="rId6" w:history="1">
        <w:r w:rsidRPr="007C5635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 xml:space="preserve">E-mail Sostituto: </w:t>
      </w:r>
      <w:hyperlink r:id="rId7" w:history="1">
        <w:r w:rsidRPr="007C5635">
          <w:rPr>
            <w:rFonts w:ascii="&amp;quot" w:eastAsia="Times New Roman" w:hAnsi="&amp;quot" w:cs="Times New Roman"/>
            <w:color w:val="B31B34"/>
            <w:sz w:val="20"/>
            <w:szCs w:val="20"/>
            <w:u w:val="single"/>
          </w:rPr>
          <w:t>---</w:t>
        </w:r>
      </w:hyperlink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>Telefono Sostituto: ---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Descrizione Procedimento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>I familiari dei defunti possono richiedere l’estumulazione dei resti mortali, anche prima della scadenza della concessione, per la sepoltura in altro cimitero o per avviare i resti a cremazione e successiva tumulazione delle ceneri.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br/>
        <w:t>I familiari devono incaricare una ditta di pompe funebri che si occuperà delle operazioni necessarie per effettuare sia il trasporto e, se del caso, la cremazione.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br/>
        <w:t>I familiari dovranno presentare all’ufficio la richiesta di estumulazione straordinaria, inoltre in caso di cremazione, la relativa istanza e la dichiarazione di rinuncia nel caso di concessioni non ancora scadute.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Requisiti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>Essere il coniuge, o i figli o parenti dei defunti tumulati nel cimitero comunale.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Documentazione Necessaria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>Documento di identità dei richiedenti.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br/>
        <w:t>Dichiarazione di rinuncia (per concessioni non scadute).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br/>
        <w:t>Richiesta di avviare a cremazione i resti mortali da parte dei familiari aventi titolo.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Costo</w:t>
      </w:r>
    </w:p>
    <w:p w:rsidR="007C5635" w:rsidRPr="007C5635" w:rsidRDefault="005A4FAC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>
        <w:rPr>
          <w:rFonts w:ascii="&amp;quot" w:eastAsia="Times New Roman" w:hAnsi="&amp;quot" w:cs="Times New Roman"/>
          <w:color w:val="555555"/>
          <w:sz w:val="20"/>
          <w:szCs w:val="20"/>
        </w:rPr>
        <w:t>Consultare gli uffici comunali</w:t>
      </w:r>
      <w:bookmarkStart w:id="0" w:name="_GoBack"/>
      <w:bookmarkEnd w:id="0"/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Normativa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t>D.P.R. 285/1990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</w:rPr>
        <w:br/>
        <w:t>Regolamento comunale di polizia mortuaria</w:t>
      </w:r>
    </w:p>
    <w:p w:rsidR="007C5635" w:rsidRPr="007C5635" w:rsidRDefault="007C5635" w:rsidP="007C5635">
      <w:pPr>
        <w:pBdr>
          <w:bottom w:val="single" w:sz="12" w:space="4" w:color="B31B34"/>
        </w:pBdr>
        <w:spacing w:line="240" w:lineRule="auto"/>
        <w:outlineLvl w:val="2"/>
        <w:rPr>
          <w:rFonts w:ascii="&amp;quot" w:eastAsia="Times New Roman" w:hAnsi="&amp;quot" w:cs="Times New Roman"/>
          <w:color w:val="585F69"/>
          <w:sz w:val="36"/>
          <w:szCs w:val="36"/>
        </w:rPr>
      </w:pPr>
      <w:r w:rsidRPr="007C5635">
        <w:rPr>
          <w:rFonts w:ascii="&amp;quot" w:eastAsia="Times New Roman" w:hAnsi="&amp;quot" w:cs="Times New Roman"/>
          <w:color w:val="585F69"/>
          <w:sz w:val="36"/>
          <w:szCs w:val="36"/>
        </w:rPr>
        <w:t>Tempistica</w:t>
      </w:r>
    </w:p>
    <w:p w:rsidR="007C5635" w:rsidRPr="007C5635" w:rsidRDefault="007C5635" w:rsidP="007C5635">
      <w:pPr>
        <w:spacing w:after="150" w:line="240" w:lineRule="auto"/>
        <w:rPr>
          <w:rFonts w:ascii="&amp;quot" w:eastAsia="Times New Roman" w:hAnsi="&amp;quot" w:cs="Times New Roman"/>
          <w:strike/>
          <w:color w:val="555555"/>
          <w:sz w:val="20"/>
          <w:szCs w:val="20"/>
        </w:rPr>
      </w:pPr>
      <w:r w:rsidRPr="007C5635">
        <w:rPr>
          <w:rFonts w:ascii="&amp;quot" w:eastAsia="Times New Roman" w:hAnsi="&amp;quot" w:cs="Times New Roman"/>
          <w:strike/>
          <w:color w:val="555555"/>
          <w:sz w:val="20"/>
          <w:szCs w:val="20"/>
        </w:rPr>
        <w:t>Entro 5 giorni dalla presentazione della domanda di estumulazione per avere l’autorizzazione e prendere successivamente gli accordi necessari con il cimitero per le operazioni di estumulazione.</w:t>
      </w:r>
      <w:r>
        <w:rPr>
          <w:rFonts w:ascii="&amp;quot" w:eastAsia="Times New Roman" w:hAnsi="&amp;quot" w:cs="Times New Roman"/>
          <w:strike/>
          <w:color w:val="555555"/>
          <w:sz w:val="20"/>
          <w:szCs w:val="20"/>
        </w:rPr>
        <w:t xml:space="preserve"> </w:t>
      </w:r>
      <w:r w:rsidRPr="007C5635">
        <w:rPr>
          <w:rFonts w:ascii="&amp;quot" w:eastAsia="Times New Roman" w:hAnsi="&amp;quot" w:cs="Times New Roman"/>
          <w:color w:val="555555"/>
          <w:sz w:val="20"/>
          <w:szCs w:val="20"/>
          <w:highlight w:val="yellow"/>
        </w:rPr>
        <w:t>TOGLIERE</w:t>
      </w:r>
    </w:p>
    <w:p w:rsidR="00310777" w:rsidRPr="007C5635" w:rsidRDefault="00310777">
      <w:pPr>
        <w:rPr>
          <w:strike/>
        </w:rPr>
      </w:pPr>
    </w:p>
    <w:sectPr w:rsidR="00310777" w:rsidRPr="007C5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35"/>
    <w:rsid w:val="0030081D"/>
    <w:rsid w:val="00310777"/>
    <w:rsid w:val="003A2786"/>
    <w:rsid w:val="004100BC"/>
    <w:rsid w:val="005A4FAC"/>
    <w:rsid w:val="007C5635"/>
    <w:rsid w:val="00D927B1"/>
    <w:rsid w:val="00F0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C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C5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7C56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C56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56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C563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7C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C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C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7C5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7C56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C56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C56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C563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semiHidden/>
    <w:unhideWhenUsed/>
    <w:rsid w:val="007C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7C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984045640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393388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366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252131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402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687754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518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68076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3223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2934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3625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831097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-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cedimenti.vallebrembana.bg.it/comune-vedeseta/servizi-cimiteriali/autorizzazione-estumulazione-straordinaria/---" TargetMode="External"/><Relationship Id="rId5" Type="http://schemas.openxmlformats.org/officeDocument/2006/relationships/hyperlink" Target="http://www.comune.vedeseta.bg.it/PortaleNet/portale/CadmoDriver_s_2929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Roberta</cp:lastModifiedBy>
  <cp:revision>4</cp:revision>
  <dcterms:created xsi:type="dcterms:W3CDTF">2020-02-03T13:03:00Z</dcterms:created>
  <dcterms:modified xsi:type="dcterms:W3CDTF">2020-02-10T08:47:00Z</dcterms:modified>
</cp:coreProperties>
</file>